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06" w:rsidRDefault="00FB0206" w:rsidP="00FB0206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219A" w:rsidRPr="00FB0206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1), com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procedimento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comum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FB0206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Default="00FB0206" w:rsidP="00FB020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AÇÃO DECLARATÓRIA DE EXONERAÇÃO DE FIANÇA,</w:t>
      </w:r>
    </w:p>
    <w:p w:rsidR="00FB0206" w:rsidRPr="00FB0206" w:rsidRDefault="00FB0206" w:rsidP="00FB0206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AE219A" w:rsidRDefault="00AE219A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20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argumentos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expendidos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>:</w:t>
      </w:r>
    </w:p>
    <w:p w:rsidR="00FB0206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FATOS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219A" w:rsidRPr="00FB020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fiadora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primeira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residencial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2),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firmou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segunda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(...),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cujo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importa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R$ (...)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Alocação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teve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início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mesmo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assinatura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(...).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Portanto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vigora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determinado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219A" w:rsidRPr="00FB020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Lei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Inquilinato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estipula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responsabilidade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entrega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Todavia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sociedade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afiançada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sofreu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modificações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quadro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social, e,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diante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disso,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antigo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sócio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majoritário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lastRenderedPageBreak/>
        <w:t>deixou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figurar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como</w:t>
      </w:r>
      <w:proofErr w:type="spellEnd"/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sócio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só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prestada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razão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amizade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íntima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mantinha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desempenhava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gerência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sociedade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obrigada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legalmente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permanecer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fiadora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nessas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condições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notificou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réus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intenção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procedessem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3),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tivesse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atendida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ingressar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reconhecida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DIREITO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Há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jurisprudência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vertente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pretensão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:</w:t>
      </w:r>
    </w:p>
    <w:p w:rsidR="00AE219A" w:rsidRPr="00FB0206" w:rsidRDefault="00AE219A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AE219A" w:rsidP="00FB0206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206">
        <w:rPr>
          <w:rFonts w:ascii="Times New Roman" w:hAnsi="Times New Roman" w:cs="Times New Roman"/>
          <w:i/>
          <w:sz w:val="28"/>
          <w:szCs w:val="28"/>
        </w:rPr>
        <w:t xml:space="preserve">Superior   Tribunal   </w:t>
      </w:r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 xml:space="preserve">de 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Justiça</w:t>
      </w:r>
      <w:proofErr w:type="spellEnd"/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.   </w:t>
      </w:r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Agravo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 regimental  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nos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 embargos</w:t>
      </w:r>
      <w:r w:rsidR="00D54BF8"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0206">
        <w:rPr>
          <w:rFonts w:ascii="Times New Roman" w:hAnsi="Times New Roman" w:cs="Times New Roman"/>
          <w:i/>
          <w:sz w:val="28"/>
          <w:szCs w:val="28"/>
        </w:rPr>
        <w:t>de</w:t>
      </w:r>
      <w:r w:rsidR="00D54BF8"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declaração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no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recurso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especial.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Locação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Fiança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prestada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razão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parentesco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com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sócio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daempresa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inquilina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Retirada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dosócio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pessoa</w:t>
      </w:r>
      <w:proofErr w:type="spellEnd"/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jurídica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Dissolução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sociedade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afiançada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Exoneração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fiadora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 xml:space="preserve">1. O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contrato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acessório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fiança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obedece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à forma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escrita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, é consensual,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deve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ser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interpretado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restritivamente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e no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sentido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mais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favorável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fiador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Desse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modo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não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pode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fiança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subsistir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à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mudança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no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quadro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societário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locatária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sem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que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expressamente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tenha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garante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esse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fato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anuído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. 2.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Decisão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agravada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que</w:t>
      </w:r>
      <w:proofErr w:type="spellEnd"/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se 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mantém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por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seus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próprios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fundamentos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. 3.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Agravo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regimental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desprovido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>” (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AgRg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nos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EDcl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no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586.370/SP – Rel.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Ministra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Laurita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Vaz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– Quinta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Turma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julgado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0206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24.05.2005 – </w:t>
      </w:r>
      <w:proofErr w:type="gramStart"/>
      <w:r w:rsidRPr="00FB0206">
        <w:rPr>
          <w:rFonts w:ascii="Times New Roman" w:hAnsi="Times New Roman" w:cs="Times New Roman"/>
          <w:i/>
          <w:sz w:val="28"/>
          <w:szCs w:val="28"/>
        </w:rPr>
        <w:t>DJ  de</w:t>
      </w:r>
      <w:proofErr w:type="gramEnd"/>
      <w:r w:rsidRPr="00FB0206">
        <w:rPr>
          <w:rFonts w:ascii="Times New Roman" w:hAnsi="Times New Roman" w:cs="Times New Roman"/>
          <w:i/>
          <w:sz w:val="28"/>
          <w:szCs w:val="28"/>
        </w:rPr>
        <w:t xml:space="preserve"> 20.06.2005 – p. 343).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PEDIDO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Diante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exposto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prestada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data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enviada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às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3),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condenando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-as no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despesas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advocatícios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houver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arbitrar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exoneração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data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releva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notar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ensina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Clóvis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Beviláqua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: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Poderá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acontecer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credor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queira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reconhecer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restitua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carta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Recorrerá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então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Poder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Judiciário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libertará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Até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decisão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definitiva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do 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juiz</w:t>
      </w:r>
      <w:proofErr w:type="spellEnd"/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durarão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diz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justo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Se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juiz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reconhece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tinha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exonerar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devia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sujeitá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-lo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às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consequências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capricho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do 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credor</w:t>
      </w:r>
      <w:proofErr w:type="spellEnd"/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tivesse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notificado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resolução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eximir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deviam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cessar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tempo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conformasse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credor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com a nova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situação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quer,sem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jurídico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pretendesse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permanência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daanterior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evitar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essa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injustiça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poderá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declarar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cessaram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fiança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Evitará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modo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um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acréscimo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responsabilidade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declarou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aceitar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CITAÇÃO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efetuada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correio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dos arts.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246, I; 247 e 248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responder no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15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(art. 335,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Civil), sob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tidos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verdadeiros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alegados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(art. 344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conter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finalidades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determinações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despacho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do(a) MM. Juiz(a),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comunicando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cartório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AE219A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206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art. 246, II,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justificar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motivo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subsidiária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 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querendo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responder no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15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(art. 335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Civil), sob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serem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tidos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verdadeiros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aqui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alegados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(art. 344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devendo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conter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finalidades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respectivas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determinações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cominações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cópia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despacho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do(a) MM. Juiz(a),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comunicando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resposta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juízo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cartório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com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respectivo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endereço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facultando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Sr.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encarregado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diligência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horários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exceção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(CPC, art. 212, § 2º).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lastRenderedPageBreak/>
        <w:t>AUDIÊNCIA DECONCILIAÇÃO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art. 334, § 5º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AE219A" w:rsidRPr="00FB0206" w:rsidRDefault="00AE219A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206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E219A" w:rsidRPr="00FB0206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</w:t>
      </w:r>
      <w:r w:rsidR="00D54BF8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>.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PROVAS</w:t>
      </w: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54BF8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D54BF8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E219A" w:rsidRPr="00FB020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E219A" w:rsidRPr="00FB0206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E219A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FB0206">
        <w:rPr>
          <w:rFonts w:ascii="Times New Roman" w:hAnsi="Times New Roman" w:cs="Times New Roman"/>
          <w:sz w:val="28"/>
          <w:szCs w:val="28"/>
        </w:rPr>
        <w:t>VALOR DACAUSA</w:t>
      </w:r>
    </w:p>
    <w:p w:rsidR="00AE219A" w:rsidRDefault="00AE219A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206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Pr="00FB0206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FB0206">
        <w:rPr>
          <w:rFonts w:ascii="Times New Roman" w:hAnsi="Times New Roman" w:cs="Times New Roman"/>
          <w:sz w:val="28"/>
          <w:szCs w:val="28"/>
        </w:rPr>
        <w:t xml:space="preserve"> o valor de R$ (...). </w:t>
      </w:r>
    </w:p>
    <w:p w:rsid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B0206" w:rsidRDefault="00FB0206" w:rsidP="00FB020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B0206" w:rsidRDefault="00FB0206" w:rsidP="00FB02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B0206" w:rsidRDefault="00FB0206" w:rsidP="00FB020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FB0206" w:rsidRDefault="00FB0206" w:rsidP="00FB02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B0206" w:rsidRDefault="00FB0206" w:rsidP="00FB020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FB0206" w:rsidRDefault="00FB0206" w:rsidP="00FB020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FB0206" w:rsidRDefault="00FB0206" w:rsidP="00FB020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FB0206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FB0206" w:rsidRDefault="00FB0206" w:rsidP="00FB020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FB020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07" w:rsidRDefault="00331007" w:rsidP="00737047">
      <w:r>
        <w:separator/>
      </w:r>
    </w:p>
  </w:endnote>
  <w:endnote w:type="continuationSeparator" w:id="1">
    <w:p w:rsidR="00331007" w:rsidRDefault="00331007" w:rsidP="0073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D17721">
    <w:pPr>
      <w:pStyle w:val="Corpodetexto"/>
      <w:spacing w:before="0" w:line="14" w:lineRule="auto"/>
      <w:ind w:left="0"/>
      <w:rPr>
        <w:sz w:val="20"/>
      </w:rPr>
    </w:pPr>
    <w:r w:rsidRPr="00D177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FB0206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07" w:rsidRDefault="00331007" w:rsidP="00737047">
      <w:r>
        <w:separator/>
      </w:r>
    </w:p>
  </w:footnote>
  <w:footnote w:type="continuationSeparator" w:id="1">
    <w:p w:rsidR="00331007" w:rsidRDefault="00331007" w:rsidP="00737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B3BC9"/>
    <w:multiLevelType w:val="multilevel"/>
    <w:tmpl w:val="0998664A"/>
    <w:lvl w:ilvl="0">
      <w:start w:val="1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abstractNum w:abstractNumId="1">
    <w:nsid w:val="739D0BF1"/>
    <w:multiLevelType w:val="hybridMultilevel"/>
    <w:tmpl w:val="98660440"/>
    <w:lvl w:ilvl="0" w:tplc="51189CA0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9F4F8FA">
      <w:start w:val="1"/>
      <w:numFmt w:val="bullet"/>
      <w:lvlText w:val="•"/>
      <w:lvlJc w:val="left"/>
      <w:pPr>
        <w:ind w:left="1334" w:hanging="151"/>
      </w:pPr>
      <w:rPr>
        <w:rFonts w:hint="default"/>
      </w:rPr>
    </w:lvl>
    <w:lvl w:ilvl="2" w:tplc="375083B4">
      <w:start w:val="1"/>
      <w:numFmt w:val="bullet"/>
      <w:lvlText w:val="•"/>
      <w:lvlJc w:val="left"/>
      <w:pPr>
        <w:ind w:left="2149" w:hanging="151"/>
      </w:pPr>
      <w:rPr>
        <w:rFonts w:hint="default"/>
      </w:rPr>
    </w:lvl>
    <w:lvl w:ilvl="3" w:tplc="164A694A">
      <w:start w:val="1"/>
      <w:numFmt w:val="bullet"/>
      <w:lvlText w:val="•"/>
      <w:lvlJc w:val="left"/>
      <w:pPr>
        <w:ind w:left="2963" w:hanging="151"/>
      </w:pPr>
      <w:rPr>
        <w:rFonts w:hint="default"/>
      </w:rPr>
    </w:lvl>
    <w:lvl w:ilvl="4" w:tplc="AABEE05E">
      <w:start w:val="1"/>
      <w:numFmt w:val="bullet"/>
      <w:lvlText w:val="•"/>
      <w:lvlJc w:val="left"/>
      <w:pPr>
        <w:ind w:left="3778" w:hanging="151"/>
      </w:pPr>
      <w:rPr>
        <w:rFonts w:hint="default"/>
      </w:rPr>
    </w:lvl>
    <w:lvl w:ilvl="5" w:tplc="2940CD78">
      <w:start w:val="1"/>
      <w:numFmt w:val="bullet"/>
      <w:lvlText w:val="•"/>
      <w:lvlJc w:val="left"/>
      <w:pPr>
        <w:ind w:left="4592" w:hanging="151"/>
      </w:pPr>
      <w:rPr>
        <w:rFonts w:hint="default"/>
      </w:rPr>
    </w:lvl>
    <w:lvl w:ilvl="6" w:tplc="2D5EB7EE">
      <w:start w:val="1"/>
      <w:numFmt w:val="bullet"/>
      <w:lvlText w:val="•"/>
      <w:lvlJc w:val="left"/>
      <w:pPr>
        <w:ind w:left="5407" w:hanging="151"/>
      </w:pPr>
      <w:rPr>
        <w:rFonts w:hint="default"/>
      </w:rPr>
    </w:lvl>
    <w:lvl w:ilvl="7" w:tplc="C0D0A666">
      <w:start w:val="1"/>
      <w:numFmt w:val="bullet"/>
      <w:lvlText w:val="•"/>
      <w:lvlJc w:val="left"/>
      <w:pPr>
        <w:ind w:left="6221" w:hanging="151"/>
      </w:pPr>
      <w:rPr>
        <w:rFonts w:hint="default"/>
      </w:rPr>
    </w:lvl>
    <w:lvl w:ilvl="8" w:tplc="481851DE">
      <w:start w:val="1"/>
      <w:numFmt w:val="bullet"/>
      <w:lvlText w:val="•"/>
      <w:lvlJc w:val="left"/>
      <w:pPr>
        <w:ind w:left="7036" w:hanging="1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219A"/>
    <w:rsid w:val="00134AC6"/>
    <w:rsid w:val="00271E1C"/>
    <w:rsid w:val="00331007"/>
    <w:rsid w:val="003E5118"/>
    <w:rsid w:val="00737047"/>
    <w:rsid w:val="00750A63"/>
    <w:rsid w:val="00772FE2"/>
    <w:rsid w:val="007A5AD2"/>
    <w:rsid w:val="0085146A"/>
    <w:rsid w:val="00A20D77"/>
    <w:rsid w:val="00AD1060"/>
    <w:rsid w:val="00AE219A"/>
    <w:rsid w:val="00D17721"/>
    <w:rsid w:val="00D54BF8"/>
    <w:rsid w:val="00ED7EA6"/>
    <w:rsid w:val="00F04A64"/>
    <w:rsid w:val="00FB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219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AE219A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E219A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E219A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AE219A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54B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4BF8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D54B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54BF8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FB0206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960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2016-03-16T22:15:00Z</dcterms:created>
  <dcterms:modified xsi:type="dcterms:W3CDTF">2016-03-23T00:26:00Z</dcterms:modified>
</cp:coreProperties>
</file>